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PORTARIA </w:t>
      </w:r>
      <w:r w:rsidDel="00000000" w:rsidR="00000000" w:rsidRPr="00000000">
        <w:rPr>
          <w:rFonts w:ascii="Arial" w:cs="Arial" w:eastAsia="Arial" w:hAnsi="Arial"/>
          <w:b w:val="1"/>
          <w:sz w:val="20"/>
          <w:szCs w:val="20"/>
          <w:vertAlign w:val="baseline"/>
          <w:rtl w:val="0"/>
        </w:rPr>
        <w:t xml:space="preserve">AGEMS Nº ______, DE _____ DE NOVEMBRO DE 2025</w:t>
      </w:r>
      <w:r w:rsidDel="00000000" w:rsidR="00000000" w:rsidRPr="00000000">
        <w:rPr>
          <w:rtl w:val="0"/>
        </w:rPr>
      </w:r>
    </w:p>
    <w:p w:rsidR="00000000" w:rsidDel="00000000" w:rsidP="00000000" w:rsidRDefault="00000000" w:rsidRPr="00000000" w14:paraId="00000002">
      <w:pPr>
        <w:shd w:fill="ffffff" w:val="clear"/>
        <w:spacing w:after="0" w:line="240" w:lineRule="auto"/>
        <w:ind w:left="4536" w:firstLine="0"/>
        <w:jc w:val="both"/>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Homologa os resultados da Segunda Revisão Tarifária e das Estruturas Tarifárias dos Serviços Públicos Delegados de Abastecimento de Água e Esgotamento Sanitário no âmbito dos Municípios Regulados pela Agência Estadual de Regulação de Serviços Públicos de Mato Grosso do Sul.</w:t>
      </w:r>
      <w:r w:rsidDel="00000000" w:rsidR="00000000" w:rsidRPr="00000000">
        <w:rPr>
          <w:rtl w:val="0"/>
        </w:rPr>
      </w:r>
    </w:p>
    <w:p w:rsidR="00000000" w:rsidDel="00000000" w:rsidP="00000000" w:rsidRDefault="00000000" w:rsidRPr="00000000" w14:paraId="00000003">
      <w:pPr>
        <w:shd w:fill="ffffff" w:val="clear"/>
        <w:spacing w:after="0" w:line="240" w:lineRule="auto"/>
        <w:ind w:left="4536"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4">
      <w:pPr>
        <w:shd w:fill="ffffff" w:val="clear"/>
        <w:spacing w:after="0" w:line="240" w:lineRule="auto"/>
        <w:ind w:left="4536"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shd w:fill="ffffff" w:val="clea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 </w:t>
      </w:r>
      <w:r w:rsidDel="00000000" w:rsidR="00000000" w:rsidRPr="00000000">
        <w:rPr>
          <w:rFonts w:ascii="Arial" w:cs="Arial" w:eastAsia="Arial" w:hAnsi="Arial"/>
          <w:b w:val="1"/>
          <w:sz w:val="20"/>
          <w:szCs w:val="20"/>
          <w:vertAlign w:val="baseline"/>
          <w:rtl w:val="0"/>
        </w:rPr>
        <w:t xml:space="preserve">Diretor-Presidente</w:t>
      </w:r>
      <w:r w:rsidDel="00000000" w:rsidR="00000000" w:rsidRPr="00000000">
        <w:rPr>
          <w:rFonts w:ascii="Arial" w:cs="Arial" w:eastAsia="Arial" w:hAnsi="Arial"/>
          <w:sz w:val="20"/>
          <w:szCs w:val="20"/>
          <w:vertAlign w:val="baseline"/>
          <w:rtl w:val="0"/>
        </w:rPr>
        <w:t xml:space="preserve"> da Agência Estadual de Regulação de Serviços Públicos de Mato Grosso do Sul – AGEMS, no uso de suas atribuições e, tendo em vista o disposto na alínea “g”, inciso I do art. 4° da Lei n° 2.363, de 19 de dezembro de 2001, bem como no Capítulo XI da Lei n° 2.766, 18 de dezembro de 2003 que trata da Regulação Econômica e, no inciso I do art. 19 do Decreto n° 15.796, de 27 de outubro de 2021; e</w:t>
      </w:r>
    </w:p>
    <w:p w:rsidR="00000000" w:rsidDel="00000000" w:rsidP="00000000" w:rsidRDefault="00000000" w:rsidRPr="00000000" w14:paraId="00000006">
      <w:pPr>
        <w:shd w:fill="ffffff" w:val="clea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sz w:val="20"/>
          <w:szCs w:val="20"/>
          <w:vertAlign w:val="baseline"/>
          <w:rtl w:val="0"/>
        </w:rPr>
        <w:t xml:space="preserve">Considerando</w:t>
      </w:r>
      <w:r w:rsidDel="00000000" w:rsidR="00000000" w:rsidRPr="00000000">
        <w:rPr>
          <w:rFonts w:ascii="Arial" w:cs="Arial" w:eastAsia="Arial" w:hAnsi="Arial"/>
          <w:color w:val="212529"/>
          <w:sz w:val="20"/>
          <w:szCs w:val="20"/>
          <w:vertAlign w:val="baseline"/>
          <w:rtl w:val="0"/>
        </w:rPr>
        <w:t xml:space="preserve"> a atribuição do ente regulador, conforme artigo 23, § 1° da Lei Federal n° 11.445/07 que dispõe sobre atribuição para editar normas sobre reajustes e revisões;</w:t>
      </w:r>
    </w:p>
    <w:p w:rsidR="00000000" w:rsidDel="00000000" w:rsidP="00000000" w:rsidRDefault="00000000" w:rsidRPr="00000000" w14:paraId="00000008">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09">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os Convênios de Cooperação celebrados entre o Estado de Mato Grosso do Sul, por intermédio da Agência Estadual de Regulação de Serviços Públicos de Mato Grosso do Sul e os Municípios, visando a organização, o planejamento, a regulação e a fiscalização do serviço público de saneamento básico;</w:t>
      </w:r>
    </w:p>
    <w:p w:rsidR="00000000" w:rsidDel="00000000" w:rsidP="00000000" w:rsidRDefault="00000000" w:rsidRPr="00000000" w14:paraId="0000000A">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0B">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w:t>
      </w:r>
      <w:r w:rsidDel="00000000" w:rsidR="00000000" w:rsidRPr="00000000">
        <w:rPr>
          <w:rFonts w:ascii="Arial" w:cs="Arial" w:eastAsia="Arial" w:hAnsi="Arial"/>
          <w:strike w:val="1"/>
          <w:color w:val="212529"/>
          <w:sz w:val="20"/>
          <w:szCs w:val="20"/>
          <w:vertAlign w:val="baseline"/>
          <w:rtl w:val="0"/>
        </w:rPr>
        <w:t xml:space="preserve">os Convênios de Concessão com Gestão Compartilhada e</w:t>
      </w:r>
      <w:r w:rsidDel="00000000" w:rsidR="00000000" w:rsidRPr="00000000">
        <w:rPr>
          <w:rFonts w:ascii="Arial" w:cs="Arial" w:eastAsia="Arial" w:hAnsi="Arial"/>
          <w:color w:val="212529"/>
          <w:sz w:val="20"/>
          <w:szCs w:val="20"/>
          <w:vertAlign w:val="baseline"/>
          <w:rtl w:val="0"/>
        </w:rPr>
        <w:t xml:space="preserve"> os Contratos de Programas firmados entre a Empresa de Saneamento de Mato Grosso do Sul S.A – Sanesul e os municípios conveniados para exploração dos serviços públicos de abastecimento de água e esgotamento sanitário;</w:t>
      </w:r>
    </w:p>
    <w:p w:rsidR="00000000" w:rsidDel="00000000" w:rsidP="00000000" w:rsidRDefault="00000000" w:rsidRPr="00000000" w14:paraId="0000000C">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0D">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o disposto no art. 1º do Decreto Estadual n° 12.530, de 28 de março de 2008, que determina que os serviços públicos de saneamento básico de interesse municipal prestados pela Empresa de Saneamento de Mato Grosso do Sul S.A - Sanesul, nos termos do Decreto Estadual n° 71, de 26 de janeiro de 1979, e da Lei Estadual nº 1.496, de 12 de maio de 1994, como concessionária legal do Estado, submeter-se-ão à fiscalização e à regulação, inclusive tarifária, da Agência Estadual de Regulação de Serviços Públicos de Mato Grosso do Sul, na forma da Lei Estadual n° 2.363, de 19 de dezembro de 2001;</w:t>
      </w:r>
    </w:p>
    <w:p w:rsidR="00000000" w:rsidDel="00000000" w:rsidP="00000000" w:rsidRDefault="00000000" w:rsidRPr="00000000" w14:paraId="0000000E">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0F">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o disposto nas cláusulas dos Contratos de Programas que tratam do reajuste e da revisão da tarifa, determinando que os resultados sejam publicados com antecedência de 30 (trinta) dias da sua aplicação, ou outro que venha a substituí-lo;</w:t>
      </w:r>
    </w:p>
    <w:p w:rsidR="00000000" w:rsidDel="00000000" w:rsidP="00000000" w:rsidRDefault="00000000" w:rsidRPr="00000000" w14:paraId="00000010">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1">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a recomendação da realização da </w:t>
      </w:r>
      <w:r w:rsidDel="00000000" w:rsidR="00000000" w:rsidRPr="00000000">
        <w:rPr>
          <w:rFonts w:ascii="Arial" w:cs="Arial" w:eastAsia="Arial" w:hAnsi="Arial"/>
          <w:sz w:val="20"/>
          <w:szCs w:val="20"/>
          <w:vertAlign w:val="baseline"/>
          <w:rtl w:val="0"/>
        </w:rPr>
        <w:t xml:space="preserve">Segunda</w:t>
      </w:r>
      <w:r w:rsidDel="00000000" w:rsidR="00000000" w:rsidRPr="00000000">
        <w:rPr>
          <w:rFonts w:ascii="Arial" w:cs="Arial" w:eastAsia="Arial" w:hAnsi="Arial"/>
          <w:color w:val="ff0000"/>
          <w:sz w:val="20"/>
          <w:szCs w:val="20"/>
          <w:vertAlign w:val="baseline"/>
          <w:rtl w:val="0"/>
        </w:rPr>
        <w:t xml:space="preserve"> </w:t>
      </w:r>
      <w:r w:rsidDel="00000000" w:rsidR="00000000" w:rsidRPr="00000000">
        <w:rPr>
          <w:rFonts w:ascii="Arial" w:cs="Arial" w:eastAsia="Arial" w:hAnsi="Arial"/>
          <w:color w:val="212529"/>
          <w:sz w:val="20"/>
          <w:szCs w:val="20"/>
          <w:vertAlign w:val="baseline"/>
          <w:rtl w:val="0"/>
        </w:rPr>
        <w:t xml:space="preserve">Revisão Tarifária Ordinária, contida na Nota Técnica Regulatória AGEMS/DSB/CRES nº 005/2025,</w:t>
      </w:r>
    </w:p>
    <w:p w:rsidR="00000000" w:rsidDel="00000000" w:rsidP="00000000" w:rsidRDefault="00000000" w:rsidRPr="00000000" w14:paraId="00000012">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3">
      <w:pPr>
        <w:shd w:fill="ffffff" w:val="clear"/>
        <w:spacing w:after="0" w:line="240" w:lineRule="auto"/>
        <w:jc w:val="both"/>
        <w:rPr>
          <w:rFonts w:ascii="Arial" w:cs="Arial" w:eastAsia="Arial" w:hAnsi="Arial"/>
          <w:color w:val="ff0000"/>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os pedidos de reequilíbrio apresentados pela Sanesul S/A quanto a revisão tarifária ordinária e tarifa social;</w:t>
      </w:r>
      <w:r w:rsidDel="00000000" w:rsidR="00000000" w:rsidRPr="00000000">
        <w:rPr>
          <w:rtl w:val="0"/>
        </w:rPr>
      </w:r>
    </w:p>
    <w:p w:rsidR="00000000" w:rsidDel="00000000" w:rsidP="00000000" w:rsidRDefault="00000000" w:rsidRPr="00000000" w14:paraId="00000014">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5">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a realização da </w:t>
      </w:r>
      <w:r w:rsidDel="00000000" w:rsidR="00000000" w:rsidRPr="00000000">
        <w:rPr>
          <w:rFonts w:ascii="Arial" w:cs="Arial" w:eastAsia="Arial" w:hAnsi="Arial"/>
          <w:sz w:val="20"/>
          <w:szCs w:val="20"/>
          <w:vertAlign w:val="baseline"/>
          <w:rtl w:val="0"/>
        </w:rPr>
        <w:t xml:space="preserve">Segunda Revisão</w:t>
      </w:r>
      <w:r w:rsidDel="00000000" w:rsidR="00000000" w:rsidRPr="00000000">
        <w:rPr>
          <w:rFonts w:ascii="Arial" w:cs="Arial" w:eastAsia="Arial" w:hAnsi="Arial"/>
          <w:color w:val="212529"/>
          <w:sz w:val="20"/>
          <w:szCs w:val="20"/>
          <w:vertAlign w:val="baseline"/>
          <w:rtl w:val="0"/>
        </w:rPr>
        <w:t xml:space="preserve"> Tarifária Ordinária que apresentou as metodologias necessárias para o reestabelecimento do Equilíbrio Econômico-Financeiro da Sanesul, referentes aos Sistemas de Abastecimento de Água e Esgotamento Sanitário, constantes na Nota Técnica Regulatória AGEMS/DSB/CRES Nº 05/2025;</w:t>
      </w:r>
    </w:p>
    <w:p w:rsidR="00000000" w:rsidDel="00000000" w:rsidP="00000000" w:rsidRDefault="00000000" w:rsidRPr="00000000" w14:paraId="00000016">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7">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a Consulta Pública nº 017/2025 e Audiência Pública n° 001/2025 realizadas pela AGEMS, visando a transparência e a participação social, através das contribuições, críticas ou sugestões ao processo da Revisão Tarifária Ordinária nº 51/011.022/2024,</w:t>
      </w:r>
    </w:p>
    <w:p w:rsidR="00000000" w:rsidDel="00000000" w:rsidP="00000000" w:rsidRDefault="00000000" w:rsidRPr="00000000" w14:paraId="00000018">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9">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Considerando a deliberação da Diretoria-Executiva lavrada na Ata Regulatória nº _____, de ____ de novembro de 2025,</w:t>
      </w:r>
    </w:p>
    <w:p w:rsidR="00000000" w:rsidDel="00000000" w:rsidP="00000000" w:rsidRDefault="00000000" w:rsidRPr="00000000" w14:paraId="0000001A">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B">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R E S O L V E:</w:t>
      </w:r>
      <w:r w:rsidDel="00000000" w:rsidR="00000000" w:rsidRPr="00000000">
        <w:rPr>
          <w:rtl w:val="0"/>
        </w:rPr>
      </w:r>
    </w:p>
    <w:p w:rsidR="00000000" w:rsidDel="00000000" w:rsidP="00000000" w:rsidRDefault="00000000" w:rsidRPr="00000000" w14:paraId="0000001D">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E">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1F">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Art. 1°</w:t>
      </w:r>
      <w:r w:rsidDel="00000000" w:rsidR="00000000" w:rsidRPr="00000000">
        <w:rPr>
          <w:rFonts w:ascii="Arial" w:cs="Arial" w:eastAsia="Arial" w:hAnsi="Arial"/>
          <w:color w:val="212529"/>
          <w:sz w:val="20"/>
          <w:szCs w:val="20"/>
          <w:vertAlign w:val="baseline"/>
          <w:rtl w:val="0"/>
        </w:rPr>
        <w:t xml:space="preserve"> Homologar os resultados da </w:t>
      </w:r>
      <w:r w:rsidDel="00000000" w:rsidR="00000000" w:rsidRPr="00000000">
        <w:rPr>
          <w:rFonts w:ascii="Arial" w:cs="Arial" w:eastAsia="Arial" w:hAnsi="Arial"/>
          <w:sz w:val="20"/>
          <w:szCs w:val="20"/>
          <w:vertAlign w:val="baseline"/>
          <w:rtl w:val="0"/>
        </w:rPr>
        <w:t xml:space="preserve">Segunda Revisão</w:t>
      </w:r>
      <w:r w:rsidDel="00000000" w:rsidR="00000000" w:rsidRPr="00000000">
        <w:rPr>
          <w:rFonts w:ascii="Arial" w:cs="Arial" w:eastAsia="Arial" w:hAnsi="Arial"/>
          <w:color w:val="212529"/>
          <w:sz w:val="20"/>
          <w:szCs w:val="20"/>
          <w:vertAlign w:val="baseline"/>
          <w:rtl w:val="0"/>
        </w:rPr>
        <w:t xml:space="preserve"> Tarifária Ordinária:</w:t>
      </w:r>
    </w:p>
    <w:p w:rsidR="00000000" w:rsidDel="00000000" w:rsidP="00000000" w:rsidRDefault="00000000" w:rsidRPr="00000000" w14:paraId="00000020">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 </w:t>
      </w:r>
    </w:p>
    <w:p w:rsidR="00000000" w:rsidDel="00000000" w:rsidP="00000000" w:rsidRDefault="00000000" w:rsidRPr="00000000" w14:paraId="00000021">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 1° Homologar a Tarifa Média de Equilíbrio (R$/m³) em R$ _____ (________________).</w:t>
      </w:r>
    </w:p>
    <w:p w:rsidR="00000000" w:rsidDel="00000000" w:rsidP="00000000" w:rsidRDefault="00000000" w:rsidRPr="00000000" w14:paraId="00000022">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23">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 2º Homologar o Índice de Reposicionamento Tarifário – IRT em </w:t>
      </w:r>
      <w:r w:rsidDel="00000000" w:rsidR="00000000" w:rsidRPr="00000000">
        <w:rPr>
          <w:rFonts w:ascii="Arial" w:cs="Arial" w:eastAsia="Arial" w:hAnsi="Arial"/>
          <w:b w:val="1"/>
          <w:color w:val="212529"/>
          <w:sz w:val="20"/>
          <w:szCs w:val="20"/>
          <w:vertAlign w:val="baseline"/>
          <w:rtl w:val="0"/>
        </w:rPr>
        <w:t xml:space="preserve">_____</w:t>
      </w:r>
      <w:r w:rsidDel="00000000" w:rsidR="00000000" w:rsidRPr="00000000">
        <w:rPr>
          <w:rFonts w:ascii="Arial" w:cs="Arial" w:eastAsia="Arial" w:hAnsi="Arial"/>
          <w:color w:val="212529"/>
          <w:sz w:val="20"/>
          <w:szCs w:val="20"/>
          <w:vertAlign w:val="baseline"/>
          <w:rtl w:val="0"/>
        </w:rPr>
        <w:t xml:space="preserve"> (____________) negativos. </w:t>
      </w:r>
    </w:p>
    <w:p w:rsidR="00000000" w:rsidDel="00000000" w:rsidP="00000000" w:rsidRDefault="00000000" w:rsidRPr="00000000" w14:paraId="00000024">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 </w:t>
      </w:r>
    </w:p>
    <w:p w:rsidR="00000000" w:rsidDel="00000000" w:rsidP="00000000" w:rsidRDefault="00000000" w:rsidRPr="00000000" w14:paraId="00000025">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Art. 2°</w:t>
      </w:r>
      <w:r w:rsidDel="00000000" w:rsidR="00000000" w:rsidRPr="00000000">
        <w:rPr>
          <w:rFonts w:ascii="Arial" w:cs="Arial" w:eastAsia="Arial" w:hAnsi="Arial"/>
          <w:color w:val="212529"/>
          <w:sz w:val="20"/>
          <w:szCs w:val="20"/>
          <w:vertAlign w:val="baseline"/>
          <w:rtl w:val="0"/>
        </w:rPr>
        <w:t xml:space="preserve"> Homologar, a estrutura tarifária, definição das áreas tarifárias, categorias, faixas de consumo, níveis e tarifas, constantes no Anexo I.</w:t>
      </w:r>
    </w:p>
    <w:p w:rsidR="00000000" w:rsidDel="00000000" w:rsidP="00000000" w:rsidRDefault="00000000" w:rsidRPr="00000000" w14:paraId="00000026">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27">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 1° Compreendem os municípios da Área 1: </w:t>
      </w:r>
      <w:r w:rsidDel="00000000" w:rsidR="00000000" w:rsidRPr="00000000">
        <w:rPr>
          <w:rFonts w:ascii="Arial" w:cs="Arial" w:eastAsia="Arial" w:hAnsi="Arial"/>
          <w:color w:val="000000"/>
          <w:sz w:val="20"/>
          <w:szCs w:val="20"/>
          <w:vertAlign w:val="baseline"/>
          <w:rtl w:val="0"/>
        </w:rPr>
        <w:t xml:space="preserve">Alcinópolis, Amambai, Anastácio, Anaurilândia, Angélica, Antônio João, Aparecida do Taboado, Aquidauana, Aral Moreira, Batayporã, Bodoquena, Bonito, Caarapó, Camapuã, Caracol, Chapadão do Sul, Coronel Sapucaia, Corumbá, Coxim, Deodápolis, Dois Irmãos do Buriti, Douradina, Dourados, Eldorado, Fátima do Sul, Figueirão, Guia Lopes da Laguna, Iguatemi, Inocência, Itaporã, Itaquiraí, Ivinhema, Japorã, Jardim, Jateí, Juti, Laguna Carapã, Maracaju, Miranda, Mundo Novo, Naviraí, Nioaque, Nova Alvorada do Sul, Nova Andradina, Novo Horizonte do Sul, Paranaíba, Paranhos, Pedro Gomes, Ponta Porã, Porto Murtinho, Ribas do Rio Pardo, Rio Brilhante, Rio Negro, Rio Verde de Mato Grosso, Sete Quedas, Sidrolândia, Sonora, Tacuru, Taquarussu, Terenos e Vicentina.</w:t>
      </w:r>
      <w:r w:rsidDel="00000000" w:rsidR="00000000" w:rsidRPr="00000000">
        <w:rPr>
          <w:rtl w:val="0"/>
        </w:rPr>
      </w:r>
    </w:p>
    <w:p w:rsidR="00000000" w:rsidDel="00000000" w:rsidP="00000000" w:rsidRDefault="00000000" w:rsidRPr="00000000" w14:paraId="00000028">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29">
      <w:pPr>
        <w:shd w:fill="ffffff" w:val="clea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212529"/>
          <w:sz w:val="20"/>
          <w:szCs w:val="20"/>
          <w:vertAlign w:val="baseline"/>
          <w:rtl w:val="0"/>
        </w:rPr>
        <w:t xml:space="preserve">§ 2º Compreendem os municípios da Área 2: </w:t>
      </w:r>
      <w:r w:rsidDel="00000000" w:rsidR="00000000" w:rsidRPr="00000000">
        <w:rPr>
          <w:rFonts w:ascii="Arial" w:cs="Arial" w:eastAsia="Arial" w:hAnsi="Arial"/>
          <w:color w:val="000000"/>
          <w:sz w:val="20"/>
          <w:szCs w:val="20"/>
          <w:vertAlign w:val="baseline"/>
          <w:rtl w:val="0"/>
        </w:rPr>
        <w:t xml:space="preserve">Água Clara, Bataguassu, Brasilândia, Santa Rita do Pardo e Selvíria.</w:t>
      </w:r>
    </w:p>
    <w:p w:rsidR="00000000" w:rsidDel="00000000" w:rsidP="00000000" w:rsidRDefault="00000000" w:rsidRPr="00000000" w14:paraId="0000002A">
      <w:pPr>
        <w:shd w:fill="ffffff" w:val="clear"/>
        <w:spacing w:after="0" w:line="240"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B">
      <w:pPr>
        <w:shd w:fill="ffffff" w:val="clea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212529"/>
          <w:sz w:val="20"/>
          <w:szCs w:val="20"/>
          <w:vertAlign w:val="baseline"/>
          <w:rtl w:val="0"/>
        </w:rPr>
        <w:t xml:space="preserve">§ 3º Compreendem o município da Área 3: </w:t>
      </w:r>
      <w:r w:rsidDel="00000000" w:rsidR="00000000" w:rsidRPr="00000000">
        <w:rPr>
          <w:rFonts w:ascii="Arial" w:cs="Arial" w:eastAsia="Arial" w:hAnsi="Arial"/>
          <w:color w:val="000000"/>
          <w:sz w:val="20"/>
          <w:szCs w:val="20"/>
          <w:vertAlign w:val="baseline"/>
          <w:rtl w:val="0"/>
        </w:rPr>
        <w:t xml:space="preserve">Três Lagoas.</w:t>
      </w:r>
    </w:p>
    <w:p w:rsidR="00000000" w:rsidDel="00000000" w:rsidP="00000000" w:rsidRDefault="00000000" w:rsidRPr="00000000" w14:paraId="0000002C">
      <w:pPr>
        <w:shd w:fill="ffffff" w:val="clear"/>
        <w:spacing w:after="0" w:line="240"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D">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000000"/>
          <w:sz w:val="20"/>
          <w:szCs w:val="20"/>
          <w:vertAlign w:val="baseline"/>
          <w:rtl w:val="0"/>
        </w:rPr>
        <w:t xml:space="preserve">§ 4º Para fins de regulação tarifária, os municípios que realizarem convênios a partir da vigência desta Portaria, farão parte da Área 1.</w:t>
      </w:r>
      <w:r w:rsidDel="00000000" w:rsidR="00000000" w:rsidRPr="00000000">
        <w:rPr>
          <w:rtl w:val="0"/>
        </w:rPr>
      </w:r>
    </w:p>
    <w:p w:rsidR="00000000" w:rsidDel="00000000" w:rsidP="00000000" w:rsidRDefault="00000000" w:rsidRPr="00000000" w14:paraId="0000002E">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 </w:t>
      </w:r>
    </w:p>
    <w:p w:rsidR="00000000" w:rsidDel="00000000" w:rsidP="00000000" w:rsidRDefault="00000000" w:rsidRPr="00000000" w14:paraId="0000002F">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Art. 3°</w:t>
      </w:r>
      <w:r w:rsidDel="00000000" w:rsidR="00000000" w:rsidRPr="00000000">
        <w:rPr>
          <w:rFonts w:ascii="Arial" w:cs="Arial" w:eastAsia="Arial" w:hAnsi="Arial"/>
          <w:color w:val="212529"/>
          <w:sz w:val="20"/>
          <w:szCs w:val="20"/>
          <w:vertAlign w:val="baseline"/>
          <w:rtl w:val="0"/>
        </w:rPr>
        <w:t xml:space="preserve"> Havendo aplicação de tarifas inferiores às homologados no Anexo Único, os efeitos econômicos e financeiros, não poderão ser objeto de pedido de reequilíbrio ou revisão.</w:t>
      </w:r>
    </w:p>
    <w:p w:rsidR="00000000" w:rsidDel="00000000" w:rsidP="00000000" w:rsidRDefault="00000000" w:rsidRPr="00000000" w14:paraId="00000030">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1">
      <w:pPr>
        <w:shd w:fill="ffffff" w:val="clea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Art. 4º</w:t>
      </w:r>
      <w:r w:rsidDel="00000000" w:rsidR="00000000" w:rsidRPr="00000000">
        <w:rPr>
          <w:rFonts w:ascii="Arial" w:cs="Arial" w:eastAsia="Arial" w:hAnsi="Arial"/>
          <w:sz w:val="20"/>
          <w:szCs w:val="20"/>
          <w:vertAlign w:val="baseline"/>
          <w:rtl w:val="0"/>
        </w:rPr>
        <w:t xml:space="preserve"> Para assegurar o equilíbrio econômico-financeiro e a justa remuneração ao prestador, bem como o direito aos clientes beneficiários, que vierem a ser enquadrados na Tarifa Social, pelo advento da Lei 14.898/2024 e Portaria 211/Agems, fica criada a Tarifa Residencial Social I cujos descontos serão mantidos aos beneficiários já cadastrados anteriores à Lei, e a Tarifa Residencial Social II, para os novos beneficiários, que se enquadrarem nos critérios previstos na legislação, a partir da vigência deste normativo, que vem assegurar o equilíbrio econômico-financeiro, e garantir a aplicação da Tarifa Social.</w:t>
      </w:r>
    </w:p>
    <w:p w:rsidR="00000000" w:rsidDel="00000000" w:rsidP="00000000" w:rsidRDefault="00000000" w:rsidRPr="00000000" w14:paraId="00000032">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3">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Art. 5°</w:t>
      </w:r>
      <w:r w:rsidDel="00000000" w:rsidR="00000000" w:rsidRPr="00000000">
        <w:rPr>
          <w:rFonts w:ascii="Arial" w:cs="Arial" w:eastAsia="Arial" w:hAnsi="Arial"/>
          <w:color w:val="212529"/>
          <w:sz w:val="20"/>
          <w:szCs w:val="20"/>
          <w:vertAlign w:val="baseline"/>
          <w:rtl w:val="0"/>
        </w:rPr>
        <w:t xml:space="preserve"> As omissões, dúvidas e casos não previstos no presente instrumento, deverão ser solucionados pela Agência Estadual de Regulação de Serviços Públicos de MS, por métodos alternativos de resolução de conflitos.</w:t>
      </w:r>
    </w:p>
    <w:p w:rsidR="00000000" w:rsidDel="00000000" w:rsidP="00000000" w:rsidRDefault="00000000" w:rsidRPr="00000000" w14:paraId="00000034">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 </w:t>
      </w:r>
    </w:p>
    <w:p w:rsidR="00000000" w:rsidDel="00000000" w:rsidP="00000000" w:rsidRDefault="00000000" w:rsidRPr="00000000" w14:paraId="00000035">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Art. 6°</w:t>
      </w:r>
      <w:r w:rsidDel="00000000" w:rsidR="00000000" w:rsidRPr="00000000">
        <w:rPr>
          <w:rFonts w:ascii="Arial" w:cs="Arial" w:eastAsia="Arial" w:hAnsi="Arial"/>
          <w:color w:val="212529"/>
          <w:sz w:val="20"/>
          <w:szCs w:val="20"/>
          <w:vertAlign w:val="baseline"/>
          <w:rtl w:val="0"/>
        </w:rPr>
        <w:t xml:space="preserve"> Esta Portaria entra em vigor em 1º de janeiro de 2026, revogando-se as disposições em contrário. </w:t>
      </w:r>
    </w:p>
    <w:p w:rsidR="00000000" w:rsidDel="00000000" w:rsidP="00000000" w:rsidRDefault="00000000" w:rsidRPr="00000000" w14:paraId="00000036">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7">
      <w:pPr>
        <w:shd w:fill="ffffff" w:val="clear"/>
        <w:spacing w:after="0" w:line="240" w:lineRule="auto"/>
        <w:jc w:val="both"/>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8">
      <w:pPr>
        <w:shd w:fill="ffffff" w:val="clear"/>
        <w:spacing w:after="0" w:line="240" w:lineRule="auto"/>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Campo Grande/MS, ___ de novembro de 2025.</w:t>
      </w:r>
    </w:p>
    <w:p w:rsidR="00000000" w:rsidDel="00000000" w:rsidP="00000000" w:rsidRDefault="00000000" w:rsidRPr="00000000" w14:paraId="00000039">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A">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B">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C">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3D">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Fonts w:ascii="Arial" w:cs="Arial" w:eastAsia="Arial" w:hAnsi="Arial"/>
          <w:b w:val="1"/>
          <w:color w:val="212529"/>
          <w:sz w:val="20"/>
          <w:szCs w:val="20"/>
          <w:vertAlign w:val="baseline"/>
          <w:rtl w:val="0"/>
        </w:rPr>
        <w:t xml:space="preserve">CARLOS ALBERTO DE ASSIS</w:t>
      </w:r>
      <w:r w:rsidDel="00000000" w:rsidR="00000000" w:rsidRPr="00000000">
        <w:rPr>
          <w:rtl w:val="0"/>
        </w:rPr>
      </w:r>
    </w:p>
    <w:p w:rsidR="00000000" w:rsidDel="00000000" w:rsidP="00000000" w:rsidRDefault="00000000" w:rsidRPr="00000000" w14:paraId="0000003E">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Fonts w:ascii="Arial" w:cs="Arial" w:eastAsia="Arial" w:hAnsi="Arial"/>
          <w:color w:val="212529"/>
          <w:sz w:val="20"/>
          <w:szCs w:val="20"/>
          <w:vertAlign w:val="baseline"/>
          <w:rtl w:val="0"/>
        </w:rPr>
        <w:t xml:space="preserve">Diretor-Presidente</w:t>
      </w:r>
    </w:p>
    <w:p w:rsidR="00000000" w:rsidDel="00000000" w:rsidP="00000000" w:rsidRDefault="00000000" w:rsidRPr="00000000" w14:paraId="0000003F">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40">
      <w:pPr>
        <w:shd w:fill="ffffff" w:val="clear"/>
        <w:spacing w:after="0" w:line="240" w:lineRule="auto"/>
        <w:jc w:val="center"/>
        <w:rPr>
          <w:rFonts w:ascii="Arial" w:cs="Arial" w:eastAsia="Arial" w:hAnsi="Arial"/>
          <w:color w:val="212529"/>
          <w:sz w:val="20"/>
          <w:szCs w:val="20"/>
          <w:vertAlign w:val="baseline"/>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0"/>
          <w:sz w:val="20"/>
          <w:szCs w:val="20"/>
          <w:vertAlign w:val="baseline"/>
        </w:rPr>
      </w:pPr>
      <w:r w:rsidDel="00000000" w:rsidR="00000000" w:rsidRPr="00000000">
        <w:br w:type="page"/>
      </w:r>
      <w:r w:rsidDel="00000000" w:rsidR="00000000" w:rsidRPr="00000000">
        <w:rPr>
          <w:rFonts w:ascii="Arial" w:cs="Arial" w:eastAsia="Arial" w:hAnsi="Arial"/>
          <w:b w:val="1"/>
          <w:sz w:val="20"/>
          <w:szCs w:val="20"/>
          <w:vertAlign w:val="baseline"/>
          <w:rtl w:val="0"/>
        </w:rPr>
        <w:t xml:space="preserve">ANEXO ÚNICO DA </w:t>
      </w:r>
      <w:r w:rsidDel="00000000" w:rsidR="00000000" w:rsidRPr="00000000">
        <w:rPr>
          <w:rFonts w:ascii="Arial" w:cs="Arial" w:eastAsia="Arial" w:hAnsi="Arial"/>
          <w:b w:val="1"/>
          <w:color w:val="212529"/>
          <w:sz w:val="20"/>
          <w:szCs w:val="20"/>
          <w:vertAlign w:val="baseline"/>
          <w:rtl w:val="0"/>
        </w:rPr>
        <w:t xml:space="preserve">PORTARIA </w:t>
      </w:r>
      <w:r w:rsidDel="00000000" w:rsidR="00000000" w:rsidRPr="00000000">
        <w:rPr>
          <w:rFonts w:ascii="Arial" w:cs="Arial" w:eastAsia="Arial" w:hAnsi="Arial"/>
          <w:b w:val="1"/>
          <w:sz w:val="20"/>
          <w:szCs w:val="20"/>
          <w:vertAlign w:val="baseline"/>
          <w:rtl w:val="0"/>
        </w:rPr>
        <w:t xml:space="preserve">AGEMS Nº ______, DE _____ DE NOVEMBRO DE 2025</w:t>
      </w: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sz w:val="20"/>
          <w:szCs w:val="20"/>
          <w:vertAlign w:val="baseline"/>
        </w:rPr>
      </w:pPr>
      <w:r w:rsidDel="00000000" w:rsidR="00000000" w:rsidRPr="00000000">
        <w:rPr>
          <w:rtl w:val="0"/>
        </w:rPr>
      </w:r>
    </w:p>
    <w:tbl>
      <w:tblPr>
        <w:tblStyle w:val="Table1"/>
        <w:tblW w:w="11103.999999999998" w:type="dxa"/>
        <w:jc w:val="center"/>
        <w:tblLayout w:type="fixed"/>
        <w:tblLook w:val="0000"/>
      </w:tblPr>
      <w:tblGrid>
        <w:gridCol w:w="1392"/>
        <w:gridCol w:w="1751"/>
        <w:gridCol w:w="1559"/>
        <w:gridCol w:w="868"/>
        <w:gridCol w:w="1542"/>
        <w:gridCol w:w="1843"/>
        <w:gridCol w:w="2149"/>
        <w:tblGridChange w:id="0">
          <w:tblGrid>
            <w:gridCol w:w="1392"/>
            <w:gridCol w:w="1751"/>
            <w:gridCol w:w="1559"/>
            <w:gridCol w:w="868"/>
            <w:gridCol w:w="1542"/>
            <w:gridCol w:w="1843"/>
            <w:gridCol w:w="2149"/>
          </w:tblGrid>
        </w:tblGridChange>
      </w:tblGrid>
      <w:tr>
        <w:trPr>
          <w:cantSplit w:val="0"/>
          <w:trHeight w:val="300"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ESTRUTURA TARIFÁRIA</w:t>
            </w:r>
            <w:r w:rsidDel="00000000" w:rsidR="00000000" w:rsidRPr="00000000">
              <w:rPr>
                <w:rtl w:val="0"/>
              </w:rPr>
            </w:r>
          </w:p>
        </w:tc>
      </w:tr>
      <w:tr>
        <w:trPr>
          <w:cantSplit w:val="0"/>
          <w:trHeight w:val="300"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EMPRESA DE SANEAMENTO DE MATO GROSSO DO SUL S.A - SANESUL</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2">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VIGÊNCIA: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53">
            <w:pPr>
              <w:spacing w:after="0" w:line="240" w:lineRule="auto"/>
              <w:rPr>
                <w:rFonts w:ascii="Arial" w:cs="Arial" w:eastAsia="Arial" w:hAnsi="Arial"/>
                <w:color w:val="ff0000"/>
                <w:sz w:val="20"/>
                <w:szCs w:val="20"/>
                <w:vertAlign w:val="baseline"/>
              </w:rPr>
            </w:pPr>
            <w:r w:rsidDel="00000000" w:rsidR="00000000" w:rsidRPr="00000000">
              <w:rPr>
                <w:rFonts w:ascii="Arial" w:cs="Arial" w:eastAsia="Arial" w:hAnsi="Arial"/>
                <w:color w:val="ff0000"/>
                <w:sz w:val="20"/>
                <w:szCs w:val="20"/>
                <w:vertAlign w:val="baseline"/>
                <w:rtl w:val="0"/>
              </w:rPr>
              <w:t xml:space="preserve">A PARTIR DE 01/01/2026</w:t>
            </w:r>
          </w:p>
        </w:tc>
      </w:tr>
      <w:tr>
        <w:trPr>
          <w:cantSplit w:val="0"/>
          <w:trHeight w:val="88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ÁREA </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1</w:t>
            </w:r>
            <w:r w:rsidDel="00000000" w:rsidR="00000000" w:rsidRPr="00000000">
              <w:rPr>
                <w:rtl w:val="0"/>
              </w:rPr>
            </w:r>
          </w:p>
        </w:tc>
      </w:tr>
      <w:tr>
        <w:trPr>
          <w:cantSplit w:val="0"/>
          <w:trHeight w:val="88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MUNICÍPIOS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CATEGORIA</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FAIXA DE </w:t>
            </w:r>
            <w:r w:rsidDel="00000000" w:rsidR="00000000" w:rsidRPr="00000000">
              <w:rPr>
                <w:rtl w:val="0"/>
              </w:rPr>
            </w:r>
          </w:p>
          <w:p w:rsidR="00000000" w:rsidDel="00000000" w:rsidP="00000000" w:rsidRDefault="00000000" w:rsidRPr="00000000" w14:paraId="00000064">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CONSUMO (m</w:t>
            </w:r>
            <w:r w:rsidDel="00000000" w:rsidR="00000000" w:rsidRPr="00000000">
              <w:rPr>
                <w:rFonts w:ascii="Arial" w:cs="Arial" w:eastAsia="Arial" w:hAnsi="Arial"/>
                <w:b w:val="1"/>
                <w:color w:val="000000"/>
                <w:sz w:val="20"/>
                <w:szCs w:val="20"/>
                <w:vertAlign w:val="superscript"/>
                <w:rtl w:val="0"/>
              </w:rPr>
              <w:t xml:space="preserve">3</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TARIFA DE ÁGUA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7">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TARIFA DE </w:t>
            </w:r>
            <w:r w:rsidDel="00000000" w:rsidR="00000000" w:rsidRPr="00000000">
              <w:rPr>
                <w:rtl w:val="0"/>
              </w:rPr>
            </w:r>
          </w:p>
          <w:p w:rsidR="00000000" w:rsidDel="00000000" w:rsidP="00000000" w:rsidRDefault="00000000" w:rsidRPr="00000000" w14:paraId="00000068">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ESGOTO</w:t>
            </w:r>
            <w:r w:rsidDel="00000000" w:rsidR="00000000" w:rsidRPr="00000000">
              <w:rPr>
                <w:rtl w:val="0"/>
              </w:rPr>
            </w:r>
          </w:p>
        </w:tc>
      </w:tr>
      <w:tr>
        <w:trPr>
          <w:cantSplit w:val="1"/>
          <w:trHeight w:val="330" w:hRule="atLeast"/>
          <w:tblHeader w:val="0"/>
        </w:trPr>
        <w:tc>
          <w:tcPr>
            <w:gridSpan w:val="2"/>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69">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ALCINÓPOLIS, </w:t>
            </w:r>
          </w:p>
          <w:p w:rsidR="00000000" w:rsidDel="00000000" w:rsidP="00000000" w:rsidRDefault="00000000" w:rsidRPr="00000000" w14:paraId="0000006A">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AMAMBAI, </w:t>
            </w:r>
          </w:p>
          <w:p w:rsidR="00000000" w:rsidDel="00000000" w:rsidP="00000000" w:rsidRDefault="00000000" w:rsidRPr="00000000" w14:paraId="0000006B">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ANASTÁCIO, </w:t>
            </w:r>
          </w:p>
          <w:p w:rsidR="00000000" w:rsidDel="00000000" w:rsidP="00000000" w:rsidRDefault="00000000" w:rsidRPr="00000000" w14:paraId="0000006C">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ANAURILÂNDIA, </w:t>
            </w:r>
          </w:p>
          <w:p w:rsidR="00000000" w:rsidDel="00000000" w:rsidP="00000000" w:rsidRDefault="00000000" w:rsidRPr="00000000" w14:paraId="0000006D">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ANGÉLICA, </w:t>
            </w:r>
          </w:p>
          <w:p w:rsidR="00000000" w:rsidDel="00000000" w:rsidP="00000000" w:rsidRDefault="00000000" w:rsidRPr="00000000" w14:paraId="0000006E">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ANTÔNIO JOÃO, </w:t>
            </w:r>
          </w:p>
          <w:p w:rsidR="00000000" w:rsidDel="00000000" w:rsidP="00000000" w:rsidRDefault="00000000" w:rsidRPr="00000000" w14:paraId="0000006F">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APARECIDA DO TABOADO, </w:t>
            </w:r>
          </w:p>
          <w:p w:rsidR="00000000" w:rsidDel="00000000" w:rsidP="00000000" w:rsidRDefault="00000000" w:rsidRPr="00000000" w14:paraId="00000070">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AQUIDAUANA, </w:t>
            </w:r>
          </w:p>
          <w:p w:rsidR="00000000" w:rsidDel="00000000" w:rsidP="00000000" w:rsidRDefault="00000000" w:rsidRPr="00000000" w14:paraId="00000071">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ARAL MOREIRA, </w:t>
            </w:r>
          </w:p>
          <w:p w:rsidR="00000000" w:rsidDel="00000000" w:rsidP="00000000" w:rsidRDefault="00000000" w:rsidRPr="00000000" w14:paraId="00000072">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BATAYPORÃ, </w:t>
            </w:r>
          </w:p>
          <w:p w:rsidR="00000000" w:rsidDel="00000000" w:rsidP="00000000" w:rsidRDefault="00000000" w:rsidRPr="00000000" w14:paraId="00000073">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BODOQUENA, </w:t>
            </w:r>
          </w:p>
          <w:p w:rsidR="00000000" w:rsidDel="00000000" w:rsidP="00000000" w:rsidRDefault="00000000" w:rsidRPr="00000000" w14:paraId="00000074">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BONITO, </w:t>
            </w:r>
          </w:p>
          <w:p w:rsidR="00000000" w:rsidDel="00000000" w:rsidP="00000000" w:rsidRDefault="00000000" w:rsidRPr="00000000" w14:paraId="00000075">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CAARAPÓ, </w:t>
            </w:r>
          </w:p>
          <w:p w:rsidR="00000000" w:rsidDel="00000000" w:rsidP="00000000" w:rsidRDefault="00000000" w:rsidRPr="00000000" w14:paraId="00000076">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CAMAPUÃ, </w:t>
            </w:r>
          </w:p>
          <w:p w:rsidR="00000000" w:rsidDel="00000000" w:rsidP="00000000" w:rsidRDefault="00000000" w:rsidRPr="00000000" w14:paraId="00000077">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CARACOL, </w:t>
            </w:r>
          </w:p>
          <w:p w:rsidR="00000000" w:rsidDel="00000000" w:rsidP="00000000" w:rsidRDefault="00000000" w:rsidRPr="00000000" w14:paraId="00000078">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CHAPADÃO DO SUL, </w:t>
            </w:r>
          </w:p>
          <w:p w:rsidR="00000000" w:rsidDel="00000000" w:rsidP="00000000" w:rsidRDefault="00000000" w:rsidRPr="00000000" w14:paraId="00000079">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CORONEL SAPUCAIA, </w:t>
            </w:r>
          </w:p>
          <w:p w:rsidR="00000000" w:rsidDel="00000000" w:rsidP="00000000" w:rsidRDefault="00000000" w:rsidRPr="00000000" w14:paraId="0000007A">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CORUMBÁ, </w:t>
            </w:r>
          </w:p>
          <w:p w:rsidR="00000000" w:rsidDel="00000000" w:rsidP="00000000" w:rsidRDefault="00000000" w:rsidRPr="00000000" w14:paraId="0000007B">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COXIM, </w:t>
            </w:r>
          </w:p>
          <w:p w:rsidR="00000000" w:rsidDel="00000000" w:rsidP="00000000" w:rsidRDefault="00000000" w:rsidRPr="00000000" w14:paraId="0000007C">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DEODÁPOLIS, </w:t>
            </w:r>
          </w:p>
          <w:p w:rsidR="00000000" w:rsidDel="00000000" w:rsidP="00000000" w:rsidRDefault="00000000" w:rsidRPr="00000000" w14:paraId="0000007D">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DOIS IRMÃOS DO BURITI, </w:t>
            </w:r>
          </w:p>
          <w:p w:rsidR="00000000" w:rsidDel="00000000" w:rsidP="00000000" w:rsidRDefault="00000000" w:rsidRPr="00000000" w14:paraId="0000007E">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DOURADINA, </w:t>
            </w:r>
          </w:p>
          <w:p w:rsidR="00000000" w:rsidDel="00000000" w:rsidP="00000000" w:rsidRDefault="00000000" w:rsidRPr="00000000" w14:paraId="0000007F">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DOURADOS,</w:t>
            </w:r>
          </w:p>
          <w:p w:rsidR="00000000" w:rsidDel="00000000" w:rsidP="00000000" w:rsidRDefault="00000000" w:rsidRPr="00000000" w14:paraId="00000080">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ELDORADO, </w:t>
            </w:r>
          </w:p>
          <w:p w:rsidR="00000000" w:rsidDel="00000000" w:rsidP="00000000" w:rsidRDefault="00000000" w:rsidRPr="00000000" w14:paraId="00000081">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FÁTIMA DO SUL, </w:t>
            </w:r>
          </w:p>
          <w:p w:rsidR="00000000" w:rsidDel="00000000" w:rsidP="00000000" w:rsidRDefault="00000000" w:rsidRPr="00000000" w14:paraId="00000082">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FIGUEIRÃO, </w:t>
            </w:r>
          </w:p>
          <w:p w:rsidR="00000000" w:rsidDel="00000000" w:rsidP="00000000" w:rsidRDefault="00000000" w:rsidRPr="00000000" w14:paraId="00000083">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GUIA LOPES DA LAGUNA, </w:t>
            </w:r>
          </w:p>
          <w:p w:rsidR="00000000" w:rsidDel="00000000" w:rsidP="00000000" w:rsidRDefault="00000000" w:rsidRPr="00000000" w14:paraId="00000084">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IGUATEMI, </w:t>
            </w:r>
          </w:p>
          <w:p w:rsidR="00000000" w:rsidDel="00000000" w:rsidP="00000000" w:rsidRDefault="00000000" w:rsidRPr="00000000" w14:paraId="00000085">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INOCÊNCIA,</w:t>
            </w:r>
          </w:p>
          <w:p w:rsidR="00000000" w:rsidDel="00000000" w:rsidP="00000000" w:rsidRDefault="00000000" w:rsidRPr="00000000" w14:paraId="00000086">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ITAPORÃ, </w:t>
            </w:r>
          </w:p>
          <w:p w:rsidR="00000000" w:rsidDel="00000000" w:rsidP="00000000" w:rsidRDefault="00000000" w:rsidRPr="00000000" w14:paraId="00000087">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ITAQUIRÁI, </w:t>
            </w:r>
          </w:p>
          <w:p w:rsidR="00000000" w:rsidDel="00000000" w:rsidP="00000000" w:rsidRDefault="00000000" w:rsidRPr="00000000" w14:paraId="00000088">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IVINHEMA, </w:t>
            </w:r>
          </w:p>
          <w:p w:rsidR="00000000" w:rsidDel="00000000" w:rsidP="00000000" w:rsidRDefault="00000000" w:rsidRPr="00000000" w14:paraId="00000089">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JAPORÃ, </w:t>
            </w:r>
          </w:p>
          <w:p w:rsidR="00000000" w:rsidDel="00000000" w:rsidP="00000000" w:rsidRDefault="00000000" w:rsidRPr="00000000" w14:paraId="0000008A">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JARDIM, </w:t>
            </w:r>
          </w:p>
          <w:p w:rsidR="00000000" w:rsidDel="00000000" w:rsidP="00000000" w:rsidRDefault="00000000" w:rsidRPr="00000000" w14:paraId="0000008B">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JATEÍ, </w:t>
            </w:r>
          </w:p>
          <w:p w:rsidR="00000000" w:rsidDel="00000000" w:rsidP="00000000" w:rsidRDefault="00000000" w:rsidRPr="00000000" w14:paraId="0000008C">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JUTI, </w:t>
            </w:r>
          </w:p>
          <w:p w:rsidR="00000000" w:rsidDel="00000000" w:rsidP="00000000" w:rsidRDefault="00000000" w:rsidRPr="00000000" w14:paraId="0000008D">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LADÁRIO, </w:t>
            </w:r>
          </w:p>
          <w:p w:rsidR="00000000" w:rsidDel="00000000" w:rsidP="00000000" w:rsidRDefault="00000000" w:rsidRPr="00000000" w14:paraId="0000008E">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LAGUNA CARAPÃ, </w:t>
            </w:r>
          </w:p>
          <w:p w:rsidR="00000000" w:rsidDel="00000000" w:rsidP="00000000" w:rsidRDefault="00000000" w:rsidRPr="00000000" w14:paraId="0000008F">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MARACAJU, </w:t>
            </w:r>
          </w:p>
          <w:p w:rsidR="00000000" w:rsidDel="00000000" w:rsidP="00000000" w:rsidRDefault="00000000" w:rsidRPr="00000000" w14:paraId="00000090">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MIRANDA, </w:t>
            </w:r>
          </w:p>
          <w:p w:rsidR="00000000" w:rsidDel="00000000" w:rsidP="00000000" w:rsidRDefault="00000000" w:rsidRPr="00000000" w14:paraId="00000091">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MUNDO NOVO, </w:t>
            </w:r>
          </w:p>
          <w:p w:rsidR="00000000" w:rsidDel="00000000" w:rsidP="00000000" w:rsidRDefault="00000000" w:rsidRPr="00000000" w14:paraId="00000092">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NAVIRAÍ, </w:t>
            </w:r>
          </w:p>
          <w:p w:rsidR="00000000" w:rsidDel="00000000" w:rsidP="00000000" w:rsidRDefault="00000000" w:rsidRPr="00000000" w14:paraId="00000093">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NIOAQUE, </w:t>
            </w:r>
          </w:p>
          <w:p w:rsidR="00000000" w:rsidDel="00000000" w:rsidP="00000000" w:rsidRDefault="00000000" w:rsidRPr="00000000" w14:paraId="00000094">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NOVA ALVORADA DO SUL, </w:t>
            </w:r>
          </w:p>
          <w:p w:rsidR="00000000" w:rsidDel="00000000" w:rsidP="00000000" w:rsidRDefault="00000000" w:rsidRPr="00000000" w14:paraId="00000095">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NOVA ANDRADINA, </w:t>
            </w:r>
          </w:p>
          <w:p w:rsidR="00000000" w:rsidDel="00000000" w:rsidP="00000000" w:rsidRDefault="00000000" w:rsidRPr="00000000" w14:paraId="00000096">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NOVO HORIZONTE DO SUL, </w:t>
            </w:r>
          </w:p>
          <w:p w:rsidR="00000000" w:rsidDel="00000000" w:rsidP="00000000" w:rsidRDefault="00000000" w:rsidRPr="00000000" w14:paraId="00000097">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PARANAÍBA, </w:t>
            </w:r>
          </w:p>
          <w:p w:rsidR="00000000" w:rsidDel="00000000" w:rsidP="00000000" w:rsidRDefault="00000000" w:rsidRPr="00000000" w14:paraId="00000098">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PARANHOS, </w:t>
            </w:r>
          </w:p>
          <w:p w:rsidR="00000000" w:rsidDel="00000000" w:rsidP="00000000" w:rsidRDefault="00000000" w:rsidRPr="00000000" w14:paraId="00000099">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PEDRO GOMES, </w:t>
            </w:r>
          </w:p>
          <w:p w:rsidR="00000000" w:rsidDel="00000000" w:rsidP="00000000" w:rsidRDefault="00000000" w:rsidRPr="00000000" w14:paraId="0000009A">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PONTA PORÃ, </w:t>
            </w:r>
          </w:p>
          <w:p w:rsidR="00000000" w:rsidDel="00000000" w:rsidP="00000000" w:rsidRDefault="00000000" w:rsidRPr="00000000" w14:paraId="0000009B">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PORTO MURTINHO, </w:t>
            </w:r>
          </w:p>
          <w:p w:rsidR="00000000" w:rsidDel="00000000" w:rsidP="00000000" w:rsidRDefault="00000000" w:rsidRPr="00000000" w14:paraId="0000009C">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RIBAS DO RIO PARDO, </w:t>
            </w:r>
          </w:p>
          <w:p w:rsidR="00000000" w:rsidDel="00000000" w:rsidP="00000000" w:rsidRDefault="00000000" w:rsidRPr="00000000" w14:paraId="0000009D">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RIO BRILHANTE, </w:t>
            </w:r>
          </w:p>
          <w:p w:rsidR="00000000" w:rsidDel="00000000" w:rsidP="00000000" w:rsidRDefault="00000000" w:rsidRPr="00000000" w14:paraId="0000009E">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RIO NEGRO, </w:t>
            </w:r>
          </w:p>
          <w:p w:rsidR="00000000" w:rsidDel="00000000" w:rsidP="00000000" w:rsidRDefault="00000000" w:rsidRPr="00000000" w14:paraId="0000009F">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RIO VERDE DE MATO GROSSO, </w:t>
            </w:r>
          </w:p>
          <w:p w:rsidR="00000000" w:rsidDel="00000000" w:rsidP="00000000" w:rsidRDefault="00000000" w:rsidRPr="00000000" w14:paraId="000000A0">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SETE QUEDAS, </w:t>
            </w:r>
          </w:p>
          <w:p w:rsidR="00000000" w:rsidDel="00000000" w:rsidP="00000000" w:rsidRDefault="00000000" w:rsidRPr="00000000" w14:paraId="000000A1">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SONORA, </w:t>
            </w:r>
          </w:p>
          <w:p w:rsidR="00000000" w:rsidDel="00000000" w:rsidP="00000000" w:rsidRDefault="00000000" w:rsidRPr="00000000" w14:paraId="000000A2">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SIDROLÂNDIA, </w:t>
            </w:r>
          </w:p>
          <w:p w:rsidR="00000000" w:rsidDel="00000000" w:rsidP="00000000" w:rsidRDefault="00000000" w:rsidRPr="00000000" w14:paraId="000000A3">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TAQUARUSSU, </w:t>
            </w:r>
          </w:p>
          <w:p w:rsidR="00000000" w:rsidDel="00000000" w:rsidP="00000000" w:rsidRDefault="00000000" w:rsidRPr="00000000" w14:paraId="000000A4">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TACURU, </w:t>
            </w:r>
          </w:p>
          <w:p w:rsidR="00000000" w:rsidDel="00000000" w:rsidP="00000000" w:rsidRDefault="00000000" w:rsidRPr="00000000" w14:paraId="000000A5">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TERENOS E </w:t>
            </w:r>
          </w:p>
          <w:p w:rsidR="00000000" w:rsidDel="00000000" w:rsidP="00000000" w:rsidRDefault="00000000" w:rsidRPr="00000000" w14:paraId="000000A6">
            <w:pPr>
              <w:numPr>
                <w:ilvl w:val="0"/>
                <w:numId w:val="1"/>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VICENTINA.</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SOCIAL I</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A9">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 </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2">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9">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A">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B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7">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8">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E">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CF">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5">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6">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C">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DD">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SOCIAL II</w:t>
            </w:r>
          </w:p>
          <w:p w:rsidR="00000000" w:rsidDel="00000000" w:rsidP="00000000" w:rsidRDefault="00000000" w:rsidRPr="00000000" w14:paraId="000000E1">
            <w:pPr>
              <w:spacing w:after="0" w:line="240" w:lineRule="auto"/>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E2">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(Lei 14.898/2024)</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C">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ED">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3">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A">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F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2">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8">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9">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0F">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1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1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1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16">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17">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1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NORMAL</w:t>
            </w:r>
          </w:p>
        </w:tc>
        <w:tc>
          <w:tcPr>
            <w:gridSpan w:val="2"/>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1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1D">
            <w:pPr>
              <w:spacing w:after="0" w:line="240" w:lineRule="auto"/>
              <w:rPr>
                <w:rFonts w:ascii="Arial" w:cs="Arial" w:eastAsia="Arial" w:hAnsi="Arial"/>
                <w:color w:val="000000"/>
                <w:sz w:val="20"/>
                <w:szCs w:val="20"/>
                <w:vertAlign w:val="baseline"/>
              </w:rPr>
            </w:pP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2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3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4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COMERCIAL</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5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5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5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5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5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5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INDUSTRIAL</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6F">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7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PODER PÚBLICO</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B">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8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9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bl>
    <w:p w:rsidR="00000000" w:rsidDel="00000000" w:rsidP="00000000" w:rsidRDefault="00000000" w:rsidRPr="00000000" w14:paraId="0000019D">
      <w:pPr>
        <w:spacing w:after="0" w:line="240" w:lineRule="auto"/>
        <w:jc w:val="center"/>
        <w:rPr>
          <w:rFonts w:ascii="Arial" w:cs="Arial" w:eastAsia="Arial" w:hAnsi="Arial"/>
          <w:sz w:val="20"/>
          <w:szCs w:val="20"/>
          <w:vertAlign w:val="baseline"/>
        </w:rPr>
      </w:pPr>
      <w:r w:rsidDel="00000000" w:rsidR="00000000" w:rsidRPr="00000000">
        <w:br w:type="page"/>
      </w:r>
      <w:r w:rsidDel="00000000" w:rsidR="00000000" w:rsidRPr="00000000">
        <w:rPr>
          <w:rtl w:val="0"/>
        </w:rPr>
      </w:r>
    </w:p>
    <w:tbl>
      <w:tblPr>
        <w:tblStyle w:val="Table2"/>
        <w:tblW w:w="11103.999999999998" w:type="dxa"/>
        <w:jc w:val="center"/>
        <w:tblLayout w:type="fixed"/>
        <w:tblLook w:val="0000"/>
      </w:tblPr>
      <w:tblGrid>
        <w:gridCol w:w="1392"/>
        <w:gridCol w:w="1751"/>
        <w:gridCol w:w="1559"/>
        <w:gridCol w:w="868"/>
        <w:gridCol w:w="1542"/>
        <w:gridCol w:w="1843"/>
        <w:gridCol w:w="2149"/>
        <w:tblGridChange w:id="0">
          <w:tblGrid>
            <w:gridCol w:w="1392"/>
            <w:gridCol w:w="1751"/>
            <w:gridCol w:w="1559"/>
            <w:gridCol w:w="868"/>
            <w:gridCol w:w="1542"/>
            <w:gridCol w:w="1843"/>
            <w:gridCol w:w="2149"/>
          </w:tblGrid>
        </w:tblGridChange>
      </w:tblGrid>
      <w:tr>
        <w:trPr>
          <w:cantSplit w:val="0"/>
          <w:trHeight w:val="300"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ESTRUTURA TARIFÁRIA</w:t>
            </w:r>
            <w:r w:rsidDel="00000000" w:rsidR="00000000" w:rsidRPr="00000000">
              <w:rPr>
                <w:rtl w:val="0"/>
              </w:rPr>
            </w:r>
          </w:p>
        </w:tc>
      </w:tr>
      <w:tr>
        <w:trPr>
          <w:cantSplit w:val="0"/>
          <w:trHeight w:val="300"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EMPRESA DE SANEAMENTO DE MATO GROSSO DO SUL S.A - SANESUL</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VIGÊNCIA: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AD">
            <w:pPr>
              <w:spacing w:after="0" w:line="240" w:lineRule="auto"/>
              <w:rPr>
                <w:rFonts w:ascii="Arial" w:cs="Arial" w:eastAsia="Arial" w:hAnsi="Arial"/>
                <w:color w:val="ff0000"/>
                <w:sz w:val="20"/>
                <w:szCs w:val="20"/>
                <w:vertAlign w:val="baseline"/>
              </w:rPr>
            </w:pPr>
            <w:r w:rsidDel="00000000" w:rsidR="00000000" w:rsidRPr="00000000">
              <w:rPr>
                <w:rFonts w:ascii="Arial" w:cs="Arial" w:eastAsia="Arial" w:hAnsi="Arial"/>
                <w:color w:val="ff0000"/>
                <w:sz w:val="20"/>
                <w:szCs w:val="20"/>
                <w:vertAlign w:val="baseline"/>
                <w:rtl w:val="0"/>
              </w:rPr>
              <w:t xml:space="preserve">A PARTIR DE 01/01/2026</w:t>
            </w:r>
          </w:p>
        </w:tc>
      </w:tr>
      <w:tr>
        <w:trPr>
          <w:cantSplit w:val="0"/>
          <w:trHeight w:val="88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ÁREA </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4">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2</w:t>
            </w:r>
            <w:r w:rsidDel="00000000" w:rsidR="00000000" w:rsidRPr="00000000">
              <w:rPr>
                <w:rtl w:val="0"/>
              </w:rPr>
            </w:r>
          </w:p>
        </w:tc>
      </w:tr>
      <w:tr>
        <w:trPr>
          <w:cantSplit w:val="0"/>
          <w:trHeight w:val="88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A">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MUNICÍPIOS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CATEGORIA</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D">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FAIXA DE </w:t>
            </w:r>
            <w:r w:rsidDel="00000000" w:rsidR="00000000" w:rsidRPr="00000000">
              <w:rPr>
                <w:rtl w:val="0"/>
              </w:rPr>
            </w:r>
          </w:p>
          <w:p w:rsidR="00000000" w:rsidDel="00000000" w:rsidP="00000000" w:rsidRDefault="00000000" w:rsidRPr="00000000" w14:paraId="000001BE">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CONSUMO (m</w:t>
            </w:r>
            <w:r w:rsidDel="00000000" w:rsidR="00000000" w:rsidRPr="00000000">
              <w:rPr>
                <w:rFonts w:ascii="Arial" w:cs="Arial" w:eastAsia="Arial" w:hAnsi="Arial"/>
                <w:b w:val="1"/>
                <w:color w:val="000000"/>
                <w:sz w:val="20"/>
                <w:szCs w:val="20"/>
                <w:vertAlign w:val="superscript"/>
                <w:rtl w:val="0"/>
              </w:rPr>
              <w:t xml:space="preserve">3</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0">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TARIFA DE ÁGUA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1">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TARIFA DE </w:t>
            </w:r>
            <w:r w:rsidDel="00000000" w:rsidR="00000000" w:rsidRPr="00000000">
              <w:rPr>
                <w:rtl w:val="0"/>
              </w:rPr>
            </w:r>
          </w:p>
          <w:p w:rsidR="00000000" w:rsidDel="00000000" w:rsidP="00000000" w:rsidRDefault="00000000" w:rsidRPr="00000000" w14:paraId="000001C2">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ESGOTO</w:t>
            </w:r>
            <w:r w:rsidDel="00000000" w:rsidR="00000000" w:rsidRPr="00000000">
              <w:rPr>
                <w:rtl w:val="0"/>
              </w:rPr>
            </w:r>
          </w:p>
        </w:tc>
      </w:tr>
      <w:tr>
        <w:trPr>
          <w:cantSplit w:val="1"/>
          <w:trHeight w:val="330" w:hRule="atLeast"/>
          <w:tblHeader w:val="0"/>
        </w:trPr>
        <w:tc>
          <w:tcPr>
            <w:gridSpan w:val="2"/>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C3">
            <w:pPr>
              <w:numPr>
                <w:ilvl w:val="0"/>
                <w:numId w:val="2"/>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ÁGUA CLARA, </w:t>
            </w:r>
          </w:p>
          <w:p w:rsidR="00000000" w:rsidDel="00000000" w:rsidP="00000000" w:rsidRDefault="00000000" w:rsidRPr="00000000" w14:paraId="000001C4">
            <w:pPr>
              <w:numPr>
                <w:ilvl w:val="0"/>
                <w:numId w:val="2"/>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BATAGUASSU, </w:t>
            </w:r>
          </w:p>
          <w:p w:rsidR="00000000" w:rsidDel="00000000" w:rsidP="00000000" w:rsidRDefault="00000000" w:rsidRPr="00000000" w14:paraId="000001C5">
            <w:pPr>
              <w:numPr>
                <w:ilvl w:val="0"/>
                <w:numId w:val="2"/>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BRASILÂNDIA, </w:t>
            </w:r>
          </w:p>
          <w:p w:rsidR="00000000" w:rsidDel="00000000" w:rsidP="00000000" w:rsidRDefault="00000000" w:rsidRPr="00000000" w14:paraId="000001C6">
            <w:pPr>
              <w:numPr>
                <w:ilvl w:val="0"/>
                <w:numId w:val="2"/>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SANTA RITA DO PARDO E </w:t>
            </w:r>
          </w:p>
          <w:p w:rsidR="00000000" w:rsidDel="00000000" w:rsidP="00000000" w:rsidRDefault="00000000" w:rsidRPr="00000000" w14:paraId="000001C7">
            <w:pPr>
              <w:numPr>
                <w:ilvl w:val="0"/>
                <w:numId w:val="2"/>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SELVÍRIA</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C9">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SOCIAL I</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CA">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C">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 </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4">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A">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B">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D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2">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8">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9">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EF">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6">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7">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D">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1FE">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SOCIAL II</w:t>
            </w:r>
          </w:p>
          <w:p w:rsidR="00000000" w:rsidDel="00000000" w:rsidP="00000000" w:rsidRDefault="00000000" w:rsidRPr="00000000" w14:paraId="00000202">
            <w:pPr>
              <w:spacing w:after="0" w:line="240" w:lineRule="auto"/>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0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(Lei 14.898/2024)</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04">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06">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0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0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0D">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0E">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1C">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2">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9">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A">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2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7">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8">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3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NORMAL</w:t>
            </w:r>
          </w:p>
        </w:tc>
        <w:tc>
          <w:tcPr>
            <w:gridSpan w:val="2"/>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3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 Sem alterações na estrutura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4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5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6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7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COMERCIAL</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74">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7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7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7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7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7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8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INDUSTRIAL</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9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PODER PÚBLICO</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C">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A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B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bl>
    <w:p w:rsidR="00000000" w:rsidDel="00000000" w:rsidP="00000000" w:rsidRDefault="00000000" w:rsidRPr="00000000" w14:paraId="000002BE">
      <w:pPr>
        <w:spacing w:after="0" w:line="240" w:lineRule="auto"/>
        <w:jc w:val="center"/>
        <w:rPr>
          <w:rFonts w:ascii="Arial" w:cs="Arial" w:eastAsia="Arial" w:hAnsi="Arial"/>
          <w:sz w:val="20"/>
          <w:szCs w:val="20"/>
          <w:vertAlign w:val="baseline"/>
        </w:rPr>
      </w:pPr>
      <w:r w:rsidDel="00000000" w:rsidR="00000000" w:rsidRPr="00000000">
        <w:br w:type="page"/>
      </w:r>
      <w:r w:rsidDel="00000000" w:rsidR="00000000" w:rsidRPr="00000000">
        <w:rPr>
          <w:rtl w:val="0"/>
        </w:rPr>
      </w:r>
    </w:p>
    <w:tbl>
      <w:tblPr>
        <w:tblStyle w:val="Table3"/>
        <w:tblW w:w="11103.999999999998" w:type="dxa"/>
        <w:jc w:val="center"/>
        <w:tblLayout w:type="fixed"/>
        <w:tblLook w:val="0000"/>
      </w:tblPr>
      <w:tblGrid>
        <w:gridCol w:w="1392"/>
        <w:gridCol w:w="1751"/>
        <w:gridCol w:w="1559"/>
        <w:gridCol w:w="868"/>
        <w:gridCol w:w="1542"/>
        <w:gridCol w:w="1843"/>
        <w:gridCol w:w="2149"/>
        <w:tblGridChange w:id="0">
          <w:tblGrid>
            <w:gridCol w:w="1392"/>
            <w:gridCol w:w="1751"/>
            <w:gridCol w:w="1559"/>
            <w:gridCol w:w="868"/>
            <w:gridCol w:w="1542"/>
            <w:gridCol w:w="1843"/>
            <w:gridCol w:w="2149"/>
          </w:tblGrid>
        </w:tblGridChange>
      </w:tblGrid>
      <w:tr>
        <w:trPr>
          <w:cantSplit w:val="0"/>
          <w:trHeight w:val="300"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ESTRUTURA TARIFÁRIA</w:t>
            </w:r>
            <w:r w:rsidDel="00000000" w:rsidR="00000000" w:rsidRPr="00000000">
              <w:rPr>
                <w:rtl w:val="0"/>
              </w:rPr>
            </w:r>
          </w:p>
        </w:tc>
      </w:tr>
      <w:tr>
        <w:trPr>
          <w:cantSplit w:val="0"/>
          <w:trHeight w:val="300"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EMPRESA DE SANEAMENTO DE MATO GROSSO DO SUL S.A - SANESUL</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D">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VIGÊNCIA: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CE">
            <w:pPr>
              <w:spacing w:after="0" w:line="240" w:lineRule="auto"/>
              <w:rPr>
                <w:rFonts w:ascii="Arial" w:cs="Arial" w:eastAsia="Arial" w:hAnsi="Arial"/>
                <w:color w:val="ff0000"/>
                <w:sz w:val="20"/>
                <w:szCs w:val="20"/>
                <w:vertAlign w:val="baseline"/>
              </w:rPr>
            </w:pPr>
            <w:r w:rsidDel="00000000" w:rsidR="00000000" w:rsidRPr="00000000">
              <w:rPr>
                <w:rFonts w:ascii="Arial" w:cs="Arial" w:eastAsia="Arial" w:hAnsi="Arial"/>
                <w:color w:val="ff0000"/>
                <w:sz w:val="20"/>
                <w:szCs w:val="20"/>
                <w:vertAlign w:val="baseline"/>
                <w:rtl w:val="0"/>
              </w:rPr>
              <w:t xml:space="preserve">A PARTIR DE 01/01/2026</w:t>
            </w:r>
          </w:p>
        </w:tc>
      </w:tr>
      <w:tr>
        <w:trPr>
          <w:cantSplit w:val="0"/>
          <w:trHeight w:val="88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ÁREA </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3</w:t>
            </w:r>
            <w:r w:rsidDel="00000000" w:rsidR="00000000" w:rsidRPr="00000000">
              <w:rPr>
                <w:rtl w:val="0"/>
              </w:rPr>
            </w:r>
          </w:p>
        </w:tc>
      </w:tr>
      <w:tr>
        <w:trPr>
          <w:cantSplit w:val="0"/>
          <w:trHeight w:val="88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MUNICÍPIOS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D">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CATEGORIA</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FAIXA DE </w:t>
            </w:r>
            <w:r w:rsidDel="00000000" w:rsidR="00000000" w:rsidRPr="00000000">
              <w:rPr>
                <w:rtl w:val="0"/>
              </w:rPr>
            </w:r>
          </w:p>
          <w:p w:rsidR="00000000" w:rsidDel="00000000" w:rsidP="00000000" w:rsidRDefault="00000000" w:rsidRPr="00000000" w14:paraId="000002DF">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CONSUMO (m</w:t>
            </w:r>
            <w:r w:rsidDel="00000000" w:rsidR="00000000" w:rsidRPr="00000000">
              <w:rPr>
                <w:rFonts w:ascii="Arial" w:cs="Arial" w:eastAsia="Arial" w:hAnsi="Arial"/>
                <w:b w:val="1"/>
                <w:color w:val="000000"/>
                <w:sz w:val="20"/>
                <w:szCs w:val="20"/>
                <w:vertAlign w:val="superscript"/>
                <w:rtl w:val="0"/>
              </w:rPr>
              <w:t xml:space="preserve">3</w:t>
            </w:r>
            <w:r w:rsidDel="00000000" w:rsidR="00000000" w:rsidRPr="00000000">
              <w:rPr>
                <w:rFonts w:ascii="Arial" w:cs="Arial" w:eastAsia="Arial" w:hAnsi="Arial"/>
                <w:b w:val="1"/>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1">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TARIFA DE ÁGUA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2">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TARIFA DE </w:t>
            </w:r>
            <w:r w:rsidDel="00000000" w:rsidR="00000000" w:rsidRPr="00000000">
              <w:rPr>
                <w:rtl w:val="0"/>
              </w:rPr>
            </w:r>
          </w:p>
          <w:p w:rsidR="00000000" w:rsidDel="00000000" w:rsidP="00000000" w:rsidRDefault="00000000" w:rsidRPr="00000000" w14:paraId="000002E3">
            <w:pPr>
              <w:spacing w:after="0" w:line="24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ESGOTO</w:t>
            </w:r>
            <w:r w:rsidDel="00000000" w:rsidR="00000000" w:rsidRPr="00000000">
              <w:rPr>
                <w:rtl w:val="0"/>
              </w:rPr>
            </w:r>
          </w:p>
        </w:tc>
      </w:tr>
      <w:tr>
        <w:trPr>
          <w:cantSplit w:val="1"/>
          <w:trHeight w:val="330" w:hRule="atLeast"/>
          <w:tblHeader w:val="0"/>
        </w:trPr>
        <w:tc>
          <w:tcPr>
            <w:gridSpan w:val="2"/>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4">
            <w:pPr>
              <w:numPr>
                <w:ilvl w:val="0"/>
                <w:numId w:val="3"/>
              </w:numPr>
              <w:spacing w:after="0" w:line="240" w:lineRule="auto"/>
              <w:ind w:left="720" w:hanging="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TRÊS LAGOAS</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6">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SOCIAL I</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E7">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E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 </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E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7">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8">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E">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2FF">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Permanece o desconto existente</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5">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6">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C">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0D">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3">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4">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A">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1B">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SOCIAL II</w:t>
            </w:r>
          </w:p>
          <w:p w:rsidR="00000000" w:rsidDel="00000000" w:rsidP="00000000" w:rsidRDefault="00000000" w:rsidRPr="00000000" w14:paraId="0000031F">
            <w:pPr>
              <w:spacing w:after="0" w:line="240" w:lineRule="auto"/>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32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(Lei 14.898/2024)</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2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23">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2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2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2A">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2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2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1">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2">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Novos beneficiários da Lei 14898/2024 desconto de 50% sobre a tarifa residencial normal da mesma faixa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8">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3F">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6">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7">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D">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4E">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5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5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54">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55">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Mesma Tarifa Residencial Normal para a faixa de consumo</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RESIDENCIAL NORMAL</w:t>
            </w:r>
          </w:p>
        </w:tc>
        <w:tc>
          <w:tcPr>
            <w:gridSpan w:val="2"/>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5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5B">
            <w:pPr>
              <w:spacing w:after="0" w:line="240" w:lineRule="auto"/>
              <w:rPr>
                <w:rFonts w:ascii="Arial" w:cs="Arial" w:eastAsia="Arial" w:hAnsi="Arial"/>
                <w:color w:val="000000"/>
                <w:sz w:val="20"/>
                <w:szCs w:val="20"/>
                <w:vertAlign w:val="baseline"/>
              </w:rPr>
            </w:pP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15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16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6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21 a 25</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26 a 30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E">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7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31 a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A">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50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8D">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0">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COMERCIAL</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91">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9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9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99">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9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9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9F">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6">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C">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INDUSTRIAL</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D">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A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4">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10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5">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B">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C">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B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C2">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C3">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C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C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8">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PODER PÚBLICO</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C9">
            <w:pPr>
              <w:spacing w:after="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TARIFA FIXA</w:t>
            </w:r>
          </w:p>
        </w:tc>
        <w:tc>
          <w:tcPr>
            <w:gridSpan w:val="2"/>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C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                       </w:t>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0">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a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1">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r>
        <w:trPr>
          <w:cantSplit w:val="1"/>
          <w:trHeight w:val="300" w:hRule="atLeast"/>
          <w:tblHeader w:val="0"/>
        </w:trPr>
        <w:tc>
          <w:tcPr>
            <w:gridSpan w:val="2"/>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7">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Acima de 20</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8">
            <w:pPr>
              <w:spacing w:after="0" w:line="24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m³</w:t>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3D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Sem alterações na estrutura tarifária</w:t>
            </w:r>
            <w:r w:rsidDel="00000000" w:rsidR="00000000" w:rsidRPr="00000000">
              <w:rPr>
                <w:rtl w:val="0"/>
              </w:rPr>
            </w:r>
          </w:p>
        </w:tc>
      </w:tr>
    </w:tbl>
    <w:p w:rsidR="00000000" w:rsidDel="00000000" w:rsidP="00000000" w:rsidRDefault="00000000" w:rsidRPr="00000000" w14:paraId="000003DB">
      <w:pPr>
        <w:rPr>
          <w:rFonts w:ascii="Arial" w:cs="Arial" w:eastAsia="Arial" w:hAnsi="Arial"/>
          <w:b w:val="0"/>
          <w:sz w:val="20"/>
          <w:szCs w:val="20"/>
          <w:vertAlign w:val="baseline"/>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